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7C3FD"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Hlk16735319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口袋公园建设指南</w:t>
      </w:r>
    </w:p>
    <w:p w14:paraId="5B95548B">
      <w:pPr>
        <w:spacing w:beforeLines="0" w:afterLines="0" w:line="600" w:lineRule="exact"/>
        <w:jc w:val="center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（试行）</w:t>
      </w:r>
    </w:p>
    <w:p w14:paraId="18046DBD">
      <w:pPr>
        <w:spacing w:beforeLines="0" w:afterLines="0"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52"/>
          <w:szCs w:val="52"/>
        </w:rPr>
      </w:pPr>
    </w:p>
    <w:p w14:paraId="2942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color w:val="auto"/>
          <w:sz w:val="32"/>
          <w:szCs w:val="32"/>
        </w:rPr>
        <w:t>总  则</w:t>
      </w:r>
    </w:p>
    <w:p w14:paraId="7701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第一条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为科学推进口袋公园建设，优化城市绿色空间布局，满足人民群众就近亲近自然、休闲游憩、运动健身等需求，根据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color w:val="auto"/>
          <w:sz w:val="32"/>
          <w:szCs w:val="32"/>
        </w:rPr>
        <w:t>关法规、政策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eastAsia="仿宋_GB2312"/>
          <w:color w:val="auto"/>
          <w:sz w:val="32"/>
          <w:szCs w:val="32"/>
        </w:rPr>
        <w:t>和标准规范，编制本指南。</w:t>
      </w:r>
    </w:p>
    <w:p w14:paraId="035E9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第二条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  <w:t>口袋公园是面向公众开放、规模较小、形式多样、具有一定游憩功能的公园绿化活动场地，面积一般在400—10000平方米之间；具有选址灵活、简洁实用、环境友好等特点。</w:t>
      </w:r>
    </w:p>
    <w:p w14:paraId="48F0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第三条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本指南适用于城市内口袋公园规划、设计、建设和管理工作。</w:t>
      </w:r>
    </w:p>
    <w:p w14:paraId="2A37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第四条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口袋公园建设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遵循以下原则：</w:t>
      </w:r>
    </w:p>
    <w:p w14:paraId="3138B8A7">
      <w:pPr>
        <w:pStyle w:val="13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因地制宜。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结合实施城市更新，留白增绿、拆违建绿、见缝插绿等</w:t>
      </w:r>
      <w:r>
        <w:rPr>
          <w:rFonts w:hint="eastAsia" w:ascii="仿宋_GB2312" w:hAnsi="仿宋_GB2312" w:eastAsia="仿宋_GB2312" w:cs="仿宋_GB2312"/>
          <w:bCs/>
          <w:color w:val="auto"/>
          <w:kern w:val="24"/>
          <w:sz w:val="32"/>
          <w:szCs w:val="32"/>
        </w:rPr>
        <w:t>建设口袋公园。充分尊重和利用场地原有地形和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植被，突出地域文脉特征，形成“一园一品”景观格局。</w:t>
      </w:r>
    </w:p>
    <w:p w14:paraId="521AD3F4">
      <w:pPr>
        <w:pStyle w:val="13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便民亲民。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充分考虑周边群众需求，重点选址公园绿化活动场地服务半径覆盖不足的区域，落实适老化和儿童友好等要求，增加活动场地，完善配套设施，打造多元活动场所。</w:t>
      </w:r>
    </w:p>
    <w:p w14:paraId="30EC70EB">
      <w:pPr>
        <w:pStyle w:val="13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安全舒适。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选址和建设应尽量规避各类潜在风险因素，科学进行功能布局，有效控制公园中的各类休闲活动对周边居民造成的干扰。</w:t>
      </w:r>
    </w:p>
    <w:p w14:paraId="7FD1767F">
      <w:pPr>
        <w:pStyle w:val="13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节俭务实。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落实节约型园林和绿色低碳理念，根据群众使用需求合理配置设施，优先应用乡土植物，倡导使用节能、节水的材料、技术和工艺。</w:t>
      </w:r>
    </w:p>
    <w:p w14:paraId="03DEB4A7">
      <w:pPr>
        <w:pStyle w:val="13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共建共享。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探索建立“政府引导，社会参与”的多元建设管理机制，引导市民参与公园选址、设计、建设和养护管理，共建共享美好环境。</w:t>
      </w:r>
    </w:p>
    <w:p w14:paraId="30B18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布  局</w:t>
      </w:r>
    </w:p>
    <w:p w14:paraId="6604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第五条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场地选择</w:t>
      </w:r>
    </w:p>
    <w:p w14:paraId="2E02C6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旧城区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充分挖潜城区内的边角地、空闲地、拆违腾退土地及其他可利用空间等规划建设口袋公园，提高公园绿化活动场地服务半径覆盖率，推进既有公共空间改造提升。</w:t>
      </w:r>
    </w:p>
    <w:p w14:paraId="7C8FAE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color w:va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新城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  <w:t>区。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结合绿地相关专项规划，以“300米见绿，500米见园”为目标，增补配置口袋公园，构建布局均衡、配套合理的城市公园体系。</w:t>
      </w:r>
    </w:p>
    <w:p w14:paraId="20CE8E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rFonts w:hint="eastAsia" w:ascii="黑体" w:eastAsia="黑体" w:cs="黑体"/>
          <w:b w:val="0"/>
          <w:bCs w:val="0"/>
          <w:color w:val="auto"/>
        </w:rPr>
      </w:pPr>
      <w:r>
        <w:rPr>
          <w:rFonts w:hint="eastAsia" w:ascii="黑体" w:eastAsia="黑体" w:cs="黑体"/>
          <w:b w:val="0"/>
          <w:bCs w:val="0"/>
          <w:color w:val="auto"/>
          <w:lang w:eastAsia="zh-CN"/>
        </w:rPr>
        <w:t>第六条</w:t>
      </w:r>
      <w:r>
        <w:rPr>
          <w:rFonts w:hint="eastAsia" w:asci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</w:rPr>
        <w:t>布局要求</w:t>
      </w:r>
    </w:p>
    <w:p w14:paraId="5D7AA7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  <w:t>弥补服务盲区。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系统分析城市公园绿地空间分布均好性的基础上，优先选择公园绿化活动场地服务盲区，</w:t>
      </w:r>
      <w:r>
        <w:rPr>
          <w:rFonts w:hint="default" w:ascii="仿宋_GB2312" w:hAnsi="仿宋_GB2312" w:eastAsia="仿宋_GB2312" w:cs="仿宋_GB2312"/>
          <w:color w:val="auto"/>
          <w:kern w:val="24"/>
          <w:sz w:val="32"/>
          <w:szCs w:val="32"/>
        </w:rPr>
        <w:t>以及群众需求较大而公园绿地总量不足的区域，增加口袋公园。</w:t>
      </w:r>
    </w:p>
    <w:p w14:paraId="0ED993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360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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  <w:t>结合城市更新布局。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结合老旧小区、商业街区、背街小巷等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highlight w:val="none"/>
        </w:rPr>
        <w:t>更新改造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highlight w:val="none"/>
          <w:lang w:eastAsia="zh-CN"/>
        </w:rPr>
        <w:t>和完整社区建设布局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口袋公园。鼓励在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居住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中小学校、幼儿园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周边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口袋公园。</w:t>
      </w:r>
    </w:p>
    <w:p w14:paraId="40D051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  <w:t>保护利用历史文化资源。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鼓励结合古树名木、古桥古井等历史遗存保护建设口袋公园。历史文化街区和历史地段范围内建设的口袋公园，要注重与历史风貌环境的协调统一。</w:t>
      </w:r>
    </w:p>
    <w:p w14:paraId="216C89F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b/>
          <w:bCs/>
          <w:color w:val="auto"/>
        </w:rPr>
      </w:pPr>
      <w:r>
        <w:rPr>
          <w:rFonts w:hint="eastAsia" w:ascii="黑体" w:eastAsia="黑体" w:cs="黑体"/>
          <w:b w:val="0"/>
          <w:bCs w:val="0"/>
          <w:color w:val="auto"/>
          <w:lang w:eastAsia="zh-CN"/>
        </w:rPr>
        <w:t>第七条</w:t>
      </w:r>
      <w:r>
        <w:rPr>
          <w:rFonts w:hint="eastAsia" w:asci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</w:rPr>
        <w:t>规模功能</w:t>
      </w:r>
    </w:p>
    <w:p w14:paraId="4D9D3A8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360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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规模分类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口袋公园按面积大小可分为小、中、大三种类型，宜根据口袋公园规模和使用需求，科学确定绿化用地比例和绿化覆盖率，保障活动场地和服务设施配置需要。</w:t>
      </w:r>
    </w:p>
    <w:p w14:paraId="68CF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表1  口袋公园规模分类和绿化用地比例</w:t>
      </w:r>
    </w:p>
    <w:tbl>
      <w:tblPr>
        <w:tblStyle w:val="11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693"/>
        <w:gridCol w:w="1701"/>
        <w:gridCol w:w="1702"/>
      </w:tblGrid>
      <w:tr w14:paraId="35A7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vAlign w:val="center"/>
          </w:tcPr>
          <w:p w14:paraId="4FFACE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规模分类</w:t>
            </w:r>
          </w:p>
        </w:tc>
        <w:tc>
          <w:tcPr>
            <w:tcW w:w="2693" w:type="dxa"/>
            <w:vAlign w:val="center"/>
          </w:tcPr>
          <w:p w14:paraId="782F0B4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面积规模</w:t>
            </w:r>
          </w:p>
        </w:tc>
        <w:tc>
          <w:tcPr>
            <w:tcW w:w="1701" w:type="dxa"/>
            <w:vAlign w:val="center"/>
          </w:tcPr>
          <w:p w14:paraId="1994DD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绿化用地比例</w:t>
            </w:r>
          </w:p>
        </w:tc>
        <w:tc>
          <w:tcPr>
            <w:tcW w:w="1702" w:type="dxa"/>
            <w:vAlign w:val="center"/>
          </w:tcPr>
          <w:p w14:paraId="57021BC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绿化覆盖率</w:t>
            </w:r>
          </w:p>
        </w:tc>
      </w:tr>
      <w:tr w14:paraId="3C7C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vAlign w:val="center"/>
          </w:tcPr>
          <w:p w14:paraId="0A27EAA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小型口袋公园</w:t>
            </w:r>
          </w:p>
        </w:tc>
        <w:tc>
          <w:tcPr>
            <w:tcW w:w="2693" w:type="dxa"/>
            <w:vAlign w:val="center"/>
          </w:tcPr>
          <w:p w14:paraId="49FF38F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400—2000（含）㎡</w:t>
            </w:r>
          </w:p>
        </w:tc>
        <w:tc>
          <w:tcPr>
            <w:tcW w:w="1701" w:type="dxa"/>
            <w:vAlign w:val="center"/>
          </w:tcPr>
          <w:p w14:paraId="4714B98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＞35%</w:t>
            </w:r>
          </w:p>
        </w:tc>
        <w:tc>
          <w:tcPr>
            <w:tcW w:w="1702" w:type="dxa"/>
            <w:vAlign w:val="center"/>
          </w:tcPr>
          <w:p w14:paraId="42A198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＞50%</w:t>
            </w:r>
          </w:p>
        </w:tc>
      </w:tr>
      <w:tr w14:paraId="24B2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vAlign w:val="center"/>
          </w:tcPr>
          <w:p w14:paraId="7A0FEDF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中型口袋公园</w:t>
            </w:r>
          </w:p>
        </w:tc>
        <w:tc>
          <w:tcPr>
            <w:tcW w:w="2693" w:type="dxa"/>
            <w:vAlign w:val="center"/>
          </w:tcPr>
          <w:p w14:paraId="2B1825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2000—5000（含）㎡</w:t>
            </w:r>
          </w:p>
        </w:tc>
        <w:tc>
          <w:tcPr>
            <w:tcW w:w="1701" w:type="dxa"/>
            <w:vAlign w:val="center"/>
          </w:tcPr>
          <w:p w14:paraId="6BAAA61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≥50%</w:t>
            </w:r>
          </w:p>
        </w:tc>
        <w:tc>
          <w:tcPr>
            <w:tcW w:w="1702" w:type="dxa"/>
            <w:vAlign w:val="center"/>
          </w:tcPr>
          <w:p w14:paraId="7A7E1A8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≥65%</w:t>
            </w:r>
          </w:p>
        </w:tc>
      </w:tr>
      <w:tr w14:paraId="3ABB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2" w:type="dxa"/>
            <w:vAlign w:val="center"/>
          </w:tcPr>
          <w:p w14:paraId="3D84EB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大型口袋公园</w:t>
            </w:r>
          </w:p>
        </w:tc>
        <w:tc>
          <w:tcPr>
            <w:tcW w:w="2693" w:type="dxa"/>
            <w:vAlign w:val="center"/>
          </w:tcPr>
          <w:p w14:paraId="04053C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5000—10000（含）㎡</w:t>
            </w:r>
          </w:p>
        </w:tc>
        <w:tc>
          <w:tcPr>
            <w:tcW w:w="1701" w:type="dxa"/>
            <w:vAlign w:val="center"/>
          </w:tcPr>
          <w:p w14:paraId="596669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≥65%</w:t>
            </w:r>
          </w:p>
        </w:tc>
        <w:tc>
          <w:tcPr>
            <w:tcW w:w="1702" w:type="dxa"/>
            <w:vAlign w:val="center"/>
          </w:tcPr>
          <w:p w14:paraId="2B7A41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—</w:t>
            </w:r>
          </w:p>
        </w:tc>
      </w:tr>
    </w:tbl>
    <w:p w14:paraId="1084F64D">
      <w:pPr>
        <w:rPr>
          <w:color w:val="auto"/>
        </w:rPr>
      </w:pPr>
    </w:p>
    <w:p w14:paraId="4A5AEA64">
      <w:pPr>
        <w:rPr>
          <w:color w:val="auto"/>
        </w:rPr>
      </w:pPr>
    </w:p>
    <w:p w14:paraId="183B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4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4"/>
          <w:sz w:val="32"/>
          <w:szCs w:val="32"/>
        </w:rPr>
        <w:t>主要功能。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口袋公园功能主要包括休闲游憩、儿童游戏、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运动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健身、文化展示、科普教育等。应根据周边使用人群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需求，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合理确定功能组合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空间分区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，并根据场地条件、周边市政设施配套等，配置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各类活动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和服务设施。设施配置应符合相关标准规范要求，选择安全、耐用、易维护管理的设施。</w:t>
      </w:r>
    </w:p>
    <w:p w14:paraId="0AA9DDCE">
      <w:pPr>
        <w:spacing w:line="560" w:lineRule="exact"/>
        <w:jc w:val="center"/>
        <w:rPr>
          <w:rFonts w:hint="eastAsia" w:ascii="仿宋_GB2312" w:eastAsia="仿宋_GB2312"/>
          <w:color w:val="auto"/>
          <w:sz w:val="28"/>
          <w:szCs w:val="28"/>
        </w:rPr>
      </w:pPr>
    </w:p>
    <w:p w14:paraId="0A7BC9C4">
      <w:pPr>
        <w:spacing w:line="560" w:lineRule="exact"/>
        <w:jc w:val="center"/>
        <w:rPr>
          <w:rFonts w:hint="eastAsia" w:ascii="仿宋_GB2312" w:eastAsia="仿宋_GB2312"/>
          <w:color w:val="auto"/>
          <w:sz w:val="28"/>
          <w:szCs w:val="28"/>
        </w:rPr>
      </w:pPr>
    </w:p>
    <w:p w14:paraId="57E4DD92">
      <w:pPr>
        <w:spacing w:line="560" w:lineRule="exact"/>
        <w:jc w:val="center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口袋公园功能设置</w:t>
      </w:r>
    </w:p>
    <w:p w14:paraId="023E7816">
      <w:pPr>
        <w:rPr>
          <w:color w:val="auto"/>
        </w:rPr>
      </w:pPr>
    </w:p>
    <w:tbl>
      <w:tblPr>
        <w:tblStyle w:val="11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265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vAlign w:val="center"/>
          </w:tcPr>
          <w:p w14:paraId="2D3FCCBE"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主要功能</w:t>
            </w:r>
          </w:p>
        </w:tc>
        <w:tc>
          <w:tcPr>
            <w:tcW w:w="2074" w:type="dxa"/>
            <w:vAlign w:val="center"/>
          </w:tcPr>
          <w:p w14:paraId="45D086CD"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小型口袋公园</w:t>
            </w:r>
          </w:p>
        </w:tc>
        <w:tc>
          <w:tcPr>
            <w:tcW w:w="2074" w:type="dxa"/>
            <w:vAlign w:val="center"/>
          </w:tcPr>
          <w:p w14:paraId="44D0959C"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中型口袋公园</w:t>
            </w:r>
          </w:p>
        </w:tc>
        <w:tc>
          <w:tcPr>
            <w:tcW w:w="2074" w:type="dxa"/>
            <w:vAlign w:val="center"/>
          </w:tcPr>
          <w:p w14:paraId="313C7AE7"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大型口袋公园</w:t>
            </w:r>
          </w:p>
        </w:tc>
      </w:tr>
      <w:tr w14:paraId="50F8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vAlign w:val="center"/>
          </w:tcPr>
          <w:p w14:paraId="1B21CA99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休闲游憩</w:t>
            </w:r>
          </w:p>
        </w:tc>
        <w:tc>
          <w:tcPr>
            <w:tcW w:w="2074" w:type="dxa"/>
            <w:vAlign w:val="center"/>
          </w:tcPr>
          <w:p w14:paraId="79B72E8F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  <w:tc>
          <w:tcPr>
            <w:tcW w:w="2074" w:type="dxa"/>
            <w:vAlign w:val="center"/>
          </w:tcPr>
          <w:p w14:paraId="5D217634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  <w:tc>
          <w:tcPr>
            <w:tcW w:w="2074" w:type="dxa"/>
            <w:vAlign w:val="center"/>
          </w:tcPr>
          <w:p w14:paraId="28A1E962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</w:tr>
      <w:tr w14:paraId="0071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vAlign w:val="center"/>
          </w:tcPr>
          <w:p w14:paraId="09955EED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儿童游戏</w:t>
            </w:r>
          </w:p>
        </w:tc>
        <w:tc>
          <w:tcPr>
            <w:tcW w:w="2074" w:type="dxa"/>
            <w:vAlign w:val="center"/>
          </w:tcPr>
          <w:p w14:paraId="4FF5BD42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  <w:tc>
          <w:tcPr>
            <w:tcW w:w="2074" w:type="dxa"/>
            <w:vAlign w:val="center"/>
          </w:tcPr>
          <w:p w14:paraId="4358D486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  <w:tc>
          <w:tcPr>
            <w:tcW w:w="2074" w:type="dxa"/>
            <w:vAlign w:val="center"/>
          </w:tcPr>
          <w:p w14:paraId="309A8923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</w:tr>
      <w:tr w14:paraId="4364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vAlign w:val="center"/>
          </w:tcPr>
          <w:p w14:paraId="7D833A96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运动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健身</w:t>
            </w:r>
          </w:p>
        </w:tc>
        <w:tc>
          <w:tcPr>
            <w:tcW w:w="2074" w:type="dxa"/>
            <w:vAlign w:val="center"/>
          </w:tcPr>
          <w:p w14:paraId="49D6B2A5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  <w:tc>
          <w:tcPr>
            <w:tcW w:w="2074" w:type="dxa"/>
            <w:vAlign w:val="center"/>
          </w:tcPr>
          <w:p w14:paraId="1E5E41DB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  <w:tc>
          <w:tcPr>
            <w:tcW w:w="2074" w:type="dxa"/>
            <w:vAlign w:val="center"/>
          </w:tcPr>
          <w:p w14:paraId="65D44A26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</w:tr>
      <w:tr w14:paraId="0111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vAlign w:val="center"/>
          </w:tcPr>
          <w:p w14:paraId="049FE615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文化展示</w:t>
            </w:r>
          </w:p>
        </w:tc>
        <w:tc>
          <w:tcPr>
            <w:tcW w:w="2074" w:type="dxa"/>
            <w:vAlign w:val="center"/>
          </w:tcPr>
          <w:p w14:paraId="38E6E0EB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○</w:t>
            </w:r>
          </w:p>
        </w:tc>
        <w:tc>
          <w:tcPr>
            <w:tcW w:w="2074" w:type="dxa"/>
            <w:vAlign w:val="center"/>
          </w:tcPr>
          <w:p w14:paraId="03A1DD97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○</w:t>
            </w:r>
          </w:p>
        </w:tc>
        <w:tc>
          <w:tcPr>
            <w:tcW w:w="2074" w:type="dxa"/>
            <w:vAlign w:val="center"/>
          </w:tcPr>
          <w:p w14:paraId="261BAE80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</w:tr>
      <w:tr w14:paraId="2B99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vAlign w:val="center"/>
          </w:tcPr>
          <w:p w14:paraId="2177C4BD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科普教育</w:t>
            </w:r>
          </w:p>
        </w:tc>
        <w:tc>
          <w:tcPr>
            <w:tcW w:w="2074" w:type="dxa"/>
            <w:vAlign w:val="center"/>
          </w:tcPr>
          <w:p w14:paraId="7CEA090E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○</w:t>
            </w:r>
          </w:p>
        </w:tc>
        <w:tc>
          <w:tcPr>
            <w:tcW w:w="2074" w:type="dxa"/>
            <w:vAlign w:val="center"/>
          </w:tcPr>
          <w:p w14:paraId="3B915A49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○</w:t>
            </w:r>
          </w:p>
        </w:tc>
        <w:tc>
          <w:tcPr>
            <w:tcW w:w="2074" w:type="dxa"/>
            <w:vAlign w:val="center"/>
          </w:tcPr>
          <w:p w14:paraId="61A65BD3">
            <w:pPr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1"/>
                <w:szCs w:val="21"/>
              </w:rPr>
              <w:t>●</w:t>
            </w:r>
          </w:p>
        </w:tc>
      </w:tr>
    </w:tbl>
    <w:p w14:paraId="28044ACC">
      <w:pPr>
        <w:spacing w:before="0" w:beforeLines="0"/>
        <w:ind w:firstLine="0" w:firstLineChars="0"/>
        <w:rPr>
          <w:rFonts w:hint="eastAsia" w:ascii="仿宋_GB2312" w:eastAsia="仿宋_GB2312"/>
          <w:color w:val="auto"/>
          <w:szCs w:val="21"/>
        </w:rPr>
      </w:pPr>
      <w:r>
        <w:rPr>
          <w:rFonts w:hint="eastAsia"/>
          <w:color w:val="auto"/>
        </w:rPr>
        <w:t xml:space="preserve">                                              </w:t>
      </w:r>
      <w:r>
        <w:rPr>
          <w:rFonts w:hint="eastAsia"/>
          <w:color w:val="auto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仿宋_GB2312" w:eastAsia="仿宋_GB2312"/>
          <w:color w:val="auto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Cs w:val="21"/>
        </w:rPr>
        <w:t>注：宜设置：</w:t>
      </w:r>
      <w:r>
        <w:rPr>
          <w:rFonts w:hint="eastAsia" w:ascii="仿宋_GB2312" w:eastAsia="仿宋_GB2312" w:hAnsiTheme="minorEastAsia"/>
          <w:color w:val="auto"/>
          <w:szCs w:val="21"/>
        </w:rPr>
        <w:t>●  可设置：</w:t>
      </w:r>
      <w:r>
        <w:rPr>
          <w:rFonts w:hint="eastAsia" w:ascii="仿宋_GB2312" w:eastAsia="仿宋_GB2312"/>
          <w:color w:val="auto"/>
          <w:szCs w:val="21"/>
        </w:rPr>
        <w:t>○</w:t>
      </w:r>
    </w:p>
    <w:p w14:paraId="4EA4A103">
      <w:pPr>
        <w:spacing w:before="0" w:beforeLines="0"/>
        <w:ind w:firstLine="0" w:firstLineChars="0"/>
        <w:rPr>
          <w:rFonts w:hint="eastAsia" w:ascii="仿宋_GB2312" w:eastAsia="仿宋_GB2312"/>
          <w:color w:val="auto"/>
          <w:szCs w:val="21"/>
        </w:rPr>
      </w:pPr>
    </w:p>
    <w:p w14:paraId="365B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第三章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/>
          <w:color w:val="auto"/>
          <w:sz w:val="32"/>
          <w:szCs w:val="32"/>
        </w:rPr>
        <w:t>设计营造</w:t>
      </w:r>
    </w:p>
    <w:p w14:paraId="488212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rFonts w:hint="eastAsia" w:ascii="黑体" w:eastAsia="黑体" w:cs="黑体"/>
          <w:b w:val="0"/>
          <w:bCs w:val="0"/>
          <w:color w:val="auto"/>
        </w:rPr>
      </w:pPr>
      <w:r>
        <w:rPr>
          <w:rFonts w:hint="eastAsia" w:ascii="黑体" w:eastAsia="黑体" w:cs="黑体"/>
          <w:b w:val="0"/>
          <w:bCs w:val="0"/>
          <w:color w:val="auto"/>
          <w:lang w:eastAsia="zh-CN"/>
        </w:rPr>
        <w:t>第八条</w:t>
      </w:r>
      <w:r>
        <w:rPr>
          <w:rFonts w:hint="eastAsia" w:asci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</w:rPr>
        <w:t>一般要求</w:t>
      </w:r>
    </w:p>
    <w:p w14:paraId="3896C0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满足周边人群的使用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口袋公园设计应充分考虑周边使用人群的年龄结构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和实际使用需求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。居住区周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边的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宜注重设计儿童游戏玩耍、老年人活动锻炼等功能空间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公共服务设施周边的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宜优先满足公众休憩、便捷通行等需求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。其中，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中小学校、幼儿园周边的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 xml:space="preserve">应具备儿童友好功能，结合周边公厕设置和环境特点，合理配套公厕、家长等候区等场所设施。 </w:t>
      </w:r>
    </w:p>
    <w:p w14:paraId="6357CF4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color w:val="86C43F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营造开放共享的公园环境。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口袋公园布局宜与城市慢行系统建设有机结合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充分利用绿道系统串联绿化活动空间；加强与城市公交站点、步行流线以及周边建筑出入口的衔接，方便人群进出。</w:t>
      </w:r>
    </w:p>
    <w:p w14:paraId="47C2CD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注重简洁合理的空间布局。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应根据场地规模、区位和周边环境条件，在合理推算使用人群数量的基础上，科学确定绿化用地和硬质铺装场地的比例，划定功能分区、区分动静空间，布局各类活动场地。合理设置复合功能区, 提高空间利用率。平面布局应简洁流畅，方便公众使用。</w:t>
      </w:r>
    </w:p>
    <w:p w14:paraId="1202AE9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rFonts w:hint="eastAsia" w:hAnsi="仿宋_GB2312" w:cs="仿宋_GB2312"/>
          <w:color w:val="auto"/>
        </w:rPr>
      </w:pPr>
      <w:r>
        <w:rPr>
          <w:rFonts w:hint="eastAsia" w:ascii="楷体_GB2312" w:hAnsi="楷体_GB2312" w:eastAsia="楷体_GB2312" w:cs="楷体_GB2312"/>
          <w:b w:val="0"/>
          <w:color w:val="auto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color w:val="auto"/>
        </w:rPr>
        <w:t>保障安全舒适的环境氛围。</w:t>
      </w:r>
      <w:r>
        <w:rPr>
          <w:rFonts w:hint="eastAsia" w:hAnsi="仿宋_GB2312" w:cs="仿宋_GB2312"/>
          <w:color w:val="auto"/>
        </w:rPr>
        <w:t>活动场地的设计和设施应考虑老年人、儿童、残障人士的使用需求，加强无障碍设计。应注重夏季遮荫、夜间照明需求。避让周边的安全隐患及干扰因素，必要时采用绿化隔离或设施防护等措施，减少环境干扰。</w:t>
      </w:r>
    </w:p>
    <w:p w14:paraId="34796A6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360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86C43F"/>
          <w:sz w:val="32"/>
          <w:szCs w:val="32"/>
        </w:rPr>
        <w:t xml:space="preserve"> </w:t>
      </w:r>
      <w:r>
        <w:rPr>
          <w:rFonts w:hint="eastAsia" w:ascii="仿宋_GB2312" w:hAnsi="仿宋_GB2312" w:eastAsia="仿宋_GB2312" w:cs="仿宋_GB2312"/>
          <w:color w:val="86C43F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展现各具特色的场所主题。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应注重发掘场地及周边区域的文脉特色，合理确定和表达公园的文化主题，提升公园文化艺术魅力。场地内有历史遗存的，应加强对历史遗存的保护、展示和利用。</w:t>
      </w:r>
    </w:p>
    <w:p w14:paraId="5E6893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rFonts w:hint="eastAsia" w:hAnsi="仿宋_GB2312" w:cs="仿宋_GB2312"/>
          <w:b/>
          <w:bCs/>
          <w:color w:val="auto"/>
        </w:rPr>
      </w:pPr>
      <w:r>
        <w:rPr>
          <w:rFonts w:hint="eastAsia" w:ascii="黑体" w:eastAsia="黑体" w:cs="黑体"/>
          <w:b w:val="0"/>
          <w:bCs w:val="0"/>
          <w:color w:val="auto"/>
          <w:lang w:eastAsia="zh-CN"/>
        </w:rPr>
        <w:t>第九条</w:t>
      </w:r>
      <w:r>
        <w:rPr>
          <w:rFonts w:hint="eastAsia" w:asci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</w:rPr>
        <w:t>活动场地</w:t>
      </w:r>
    </w:p>
    <w:p w14:paraId="05D15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休憩交往场地。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宜按照“尺度适宜、复合使用、形态灵活”的原则设计建设休憩交往场地，根据使用需求及场地条件营造合适的空间形态，满足多种活动功能需要，避免规模尺度大而无当。</w:t>
      </w:r>
    </w:p>
    <w:p w14:paraId="2275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座椅、廊架等休憩设施应注重安全舒适，廊架设置应考虑遮荫避雨需要，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座椅旁应设置轮椅停留位置。</w:t>
      </w:r>
    </w:p>
    <w:p w14:paraId="7622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可通过铺装色彩、材质、图案变化，采用树池、景墙等形式，划分动静空间和不同活动区域，提升场地使用的安全性和舒适性。</w:t>
      </w:r>
    </w:p>
    <w:p w14:paraId="1414471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儿童活动场地。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应选择阳光充足及通风良好的地段，场地宜有不小于1/2的活动面积在建筑日照阴影线之外，且场地宜设置在能遮挡冬季寒风的建（构）筑物背风面。</w:t>
      </w:r>
    </w:p>
    <w:p w14:paraId="4A6F197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儿童活动场地应考虑不同年龄段儿童活动特点，适当分区组织，空间设计应保证视觉通透，设施造型应新颖活泼、贴近自然，色彩宜丰富亮丽，符合儿童心理特点。儿童游戏设施和活动器械材质应环保、安全。</w:t>
      </w:r>
    </w:p>
    <w:p w14:paraId="369F79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儿童活动场地及周边区域</w:t>
      </w:r>
      <w:r>
        <w:rPr>
          <w:rFonts w:hint="eastAsia" w:hAnsi="仿宋_GB2312" w:cs="仿宋_GB2312"/>
          <w:color w:val="auto"/>
          <w:lang w:eastAsia="zh-CN"/>
        </w:rPr>
        <w:t>应</w:t>
      </w:r>
      <w:r>
        <w:rPr>
          <w:rFonts w:hint="eastAsia" w:hAnsi="仿宋_GB2312" w:cs="仿宋_GB2312"/>
          <w:color w:val="auto"/>
        </w:rPr>
        <w:t>种植无毒无刺、色彩丰富、品种多样的植被，激发儿童对自然的兴趣和认知。可适当设置迷你菜园、游戏角、趣味涂鸦墙等自然体验类场地和美育空间。</w:t>
      </w:r>
    </w:p>
    <w:p w14:paraId="0FD5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场地高差较大的区域，可通过设置适宜邻里互动的草阶、看台、游憩设施等，合理消纳场地高差，提高场地利用率。</w:t>
      </w:r>
    </w:p>
    <w:p w14:paraId="4604AA4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运动健身场地。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包括康体健身场地、体育活动场地等形式。运动健身场地应避免与公园其他活动场地、主要园路交叉重叠，保证公园活动安全。</w:t>
      </w:r>
    </w:p>
    <w:p w14:paraId="45B13C2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康体健身场地宜设置在人群易到达的地方，有适当的林荫遮蔽。健身场地的器械选择，宜兼顾力量型、耐力型、柔韧型和灵敏型等多种类型。</w:t>
      </w:r>
    </w:p>
    <w:p w14:paraId="340715F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以服务老年人为主的健身场地可设置环形散步道，步道单侧可设置扶手，场地周边植物种植要防止根系鼓出影响地面平整度，乔木栽植点距铺装边界不应小于0.75米，表面根系发达树种的栽植点距铺装边界不应小于1.0米。</w:t>
      </w:r>
    </w:p>
    <w:p w14:paraId="07E2B2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体育活动场地以小型多功能运动场地为主，包括乒乓球台、羽毛球场、非标篮球场等。体育活动场地布局应远离周边住宅、办公楼等建筑，必要时应设置防护栏、绿化隔离带等隔离、缓冲设施，减少干扰，保障安全。体育活动场地与儿童活动场地、老年人活动场地相邻时,应预留安全缓冲空间或设置安全隔离措施,避免发生冲撞。</w:t>
      </w:r>
    </w:p>
    <w:p w14:paraId="3FACEE0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体育活动场地周边宜设置座椅、物品存放设施等。有条件可设置直饮水等配套设施。</w:t>
      </w:r>
    </w:p>
    <w:p w14:paraId="6FE26C3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rFonts w:hint="eastAsia" w:ascii="黑体" w:eastAsia="黑体" w:cs="黑体"/>
          <w:b w:val="0"/>
          <w:bCs w:val="0"/>
          <w:color w:val="auto"/>
        </w:rPr>
      </w:pPr>
      <w:r>
        <w:rPr>
          <w:rFonts w:hint="eastAsia" w:ascii="黑体" w:eastAsia="黑体" w:cs="黑体"/>
          <w:b w:val="0"/>
          <w:bCs w:val="0"/>
          <w:color w:val="auto"/>
          <w:lang w:eastAsia="zh-CN"/>
        </w:rPr>
        <w:t>第十条</w:t>
      </w:r>
      <w:r>
        <w:rPr>
          <w:rFonts w:hint="eastAsia" w:asci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</w:rPr>
        <w:t>道路铺装</w:t>
      </w:r>
    </w:p>
    <w:p w14:paraId="52C1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铺装选材。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应满足平整、防滑、耐久、美观、易于维护等要求，避免使用光面石材、玻璃、缝隙较大的地砖以及松散性材料。</w:t>
      </w:r>
    </w:p>
    <w:p w14:paraId="6EEAFD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  <w:lang w:val="en-US" w:eastAsia="zh-CN"/>
        </w:rPr>
        <w:t xml:space="preserve">    </w:t>
      </w:r>
      <w:r>
        <w:rPr>
          <w:rFonts w:hint="eastAsia" w:hAnsi="仿宋_GB2312" w:cs="仿宋_GB2312"/>
          <w:color w:val="auto"/>
        </w:rPr>
        <w:t>宜落实海绵城市建设理念，使用透水透气性铺装，避免场地积水。</w:t>
      </w:r>
    </w:p>
    <w:p w14:paraId="5230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竖向设计。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园路要进行安全舒适的坡度设计，铺装场地坡度宜为0.3%—3%。</w:t>
      </w:r>
    </w:p>
    <w:p w14:paraId="3B937E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道路、活动场地应满足无障碍环境要求，方便特殊人群使用。</w:t>
      </w:r>
    </w:p>
    <w:p w14:paraId="560C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布局设计。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设计健步道或跑步道的，宜设计成环绕闭合形式，路面应连续、平整，优先采用防滑、透气、耐磨的面层材料。</w:t>
      </w:r>
    </w:p>
    <w:p w14:paraId="2CF94BF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  <w:sz w:val="32"/>
          <w:szCs w:val="32"/>
        </w:rPr>
        <w:t>可采用不同色彩、材质、图案等铺装形式，提高园路的识别</w:t>
      </w:r>
      <w:r>
        <w:rPr>
          <w:rFonts w:hint="eastAsia" w:hAnsi="仿宋_GB2312" w:cs="仿宋_GB2312"/>
          <w:color w:val="auto"/>
        </w:rPr>
        <w:t>性和艺术性。</w:t>
      </w:r>
    </w:p>
    <w:p w14:paraId="099C4F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井盖与周边铺装进行一体化设计，保证表面平整。</w:t>
      </w:r>
    </w:p>
    <w:p w14:paraId="3B595E1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hAnsi="仿宋_GB2312" w:cs="仿宋_GB2312"/>
          <w:b/>
          <w:bCs/>
          <w:color w:val="auto"/>
        </w:rPr>
      </w:pPr>
      <w:r>
        <w:rPr>
          <w:rFonts w:hint="eastAsia" w:hAnsi="仿宋_GB2312" w:cs="仿宋_GB2312"/>
          <w:color w:val="auto"/>
        </w:rPr>
        <w:t>作为避险、救援通道的区域应符合相关标准规范要求。</w:t>
      </w:r>
    </w:p>
    <w:p w14:paraId="68643E2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eastAsia="黑体" w:cs="黑体"/>
          <w:b w:val="0"/>
          <w:bCs w:val="0"/>
          <w:color w:val="auto"/>
        </w:rPr>
      </w:pPr>
      <w:r>
        <w:rPr>
          <w:rFonts w:hint="eastAsia" w:ascii="黑体" w:eastAsia="黑体" w:cs="黑体"/>
          <w:b w:val="0"/>
          <w:bCs w:val="0"/>
          <w:color w:val="auto"/>
          <w:lang w:eastAsia="zh-CN"/>
        </w:rPr>
        <w:t>第十一条</w:t>
      </w:r>
      <w:r>
        <w:rPr>
          <w:rFonts w:hint="eastAsia" w:ascii="黑体" w:eastAsia="黑体" w:cs="黑体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</w:rPr>
        <w:t>绿化种植</w:t>
      </w:r>
    </w:p>
    <w:p w14:paraId="0C676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植物选择。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坚持适地适树原则，优先选用乡土树种，增加观叶、观花植物，营造“彩化效果”，适度选用地域性新优品种。</w:t>
      </w:r>
    </w:p>
    <w:p w14:paraId="39E622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</w:rPr>
      </w:pPr>
      <w:r>
        <w:rPr>
          <w:rFonts w:hint="eastAsia" w:hAnsi="仿宋_GB2312" w:cs="仿宋_GB2312"/>
          <w:color w:val="auto"/>
        </w:rPr>
        <w:t>宜选用无浆果或分泌物坠地、无尖刺、无刺激性气味、无飞絮、少虫害和不易引起过敏的植物；可适当选择具有康养疗愈效果的植物。</w:t>
      </w:r>
    </w:p>
    <w:p w14:paraId="5DE166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</w:rPr>
        <w:t>地</w:t>
      </w:r>
      <w:r>
        <w:rPr>
          <w:rFonts w:hint="eastAsia" w:hAnsi="仿宋_GB2312" w:cs="仿宋_GB2312"/>
          <w:color w:val="auto"/>
          <w:sz w:val="32"/>
          <w:szCs w:val="32"/>
        </w:rPr>
        <w:t>被宜选择耐踩踏、易生长、低维护的植物。</w:t>
      </w:r>
    </w:p>
    <w:p w14:paraId="4DF1F3B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在与周边住宅交界处的区域内不宜种植高大速生乔木，影响住宅采光。如需种植乔木，以落叶、慢生为宜。</w:t>
      </w:r>
    </w:p>
    <w:p w14:paraId="569468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植物造景。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充分尊重场地现有植被，尤其是高大乔木，应在设计中保留利用。</w:t>
      </w:r>
    </w:p>
    <w:p w14:paraId="69AC89B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树种搭配应注重遮荫效果与季相特色，利用色叶、观花、观果等植物提升景观丰富度；可适度利用芳香类植物。</w:t>
      </w:r>
    </w:p>
    <w:p w14:paraId="410D7C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增加“乔—草”型配植结构占比，多留地被空间，提高通透性。</w:t>
      </w:r>
    </w:p>
    <w:p w14:paraId="57D4ACC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提倡自然式植物配置、减少造型色块植物应用。</w:t>
      </w:r>
    </w:p>
    <w:p w14:paraId="457E964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eastAsia="zh-CN"/>
        </w:rPr>
        <w:t>第十二条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  <w:t>景观小品</w:t>
      </w:r>
    </w:p>
    <w:p w14:paraId="0655E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景观建（构）筑物。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景观建（构）筑物的文化主题、体量大小、风格造型、材质色彩等应与整体环境相协调。</w:t>
      </w:r>
    </w:p>
    <w:p w14:paraId="65B9DBA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廊架体量应与场地尺度相协调，结合口袋公园的功能需求、文化主题、景观特质进行设计。廊架顶部可做不透明处理。</w:t>
      </w:r>
    </w:p>
    <w:p w14:paraId="47451B8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景墙的设计应满足功能和空间组织的需要，不宜设计过多的独立景墙。</w:t>
      </w:r>
    </w:p>
    <w:p w14:paraId="299720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应在充分考虑后期运维的基础上，设计建设喷泉、喷雾、水景墙等水景设施，遵循适地适用、循环节约原则，保障接触安全。</w:t>
      </w:r>
    </w:p>
    <w:p w14:paraId="22C3EA0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休闲桌椅。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座椅设计应符合人体工程学要求，面层宜使用耐用舒适材料，提高夏季和冬季的舒适感。</w:t>
      </w:r>
    </w:p>
    <w:p w14:paraId="56588A3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座椅形式可以与地形、树池、台阶、低缓墙垣、场地铺装等结合设计，形成特色景观。座椅按游人容量的20%—30%设置。</w:t>
      </w:r>
    </w:p>
    <w:p w14:paraId="562E7E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hAnsi="仿宋_GB2312" w:cs="仿宋_GB2312"/>
          <w:color w:val="auto"/>
          <w:sz w:val="32"/>
          <w:szCs w:val="32"/>
        </w:rPr>
        <w:t>聊天、下棋等桌椅设施宜结合林荫、廊架等布置。</w:t>
      </w:r>
    </w:p>
    <w:p w14:paraId="3B8E861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附属设施。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标识系统设计应清晰规范、简洁明快、风格统一。</w:t>
      </w:r>
    </w:p>
    <w:p w14:paraId="151705E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照明设施的设计和选择宜遵循“低碳节约、实用美观、风格协调”的原则，安装位置及照度应考虑对植物及周边环境的影响。鼓励采用智慧照明设施。</w:t>
      </w:r>
    </w:p>
    <w:p w14:paraId="11D9769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hAnsi="仿宋_GB2312" w:cs="仿宋_GB2312"/>
          <w:color w:val="auto"/>
          <w:sz w:val="32"/>
          <w:szCs w:val="32"/>
        </w:rPr>
        <w:t>适当对配电箱、井盖、围栏等设施进行遮蔽或美化。</w:t>
      </w:r>
    </w:p>
    <w:p w14:paraId="222926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eastAsia="zh-CN"/>
        </w:rPr>
        <w:t>第十三条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  <w:t>文化展示</w:t>
      </w:r>
    </w:p>
    <w:p w14:paraId="7133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注重与文化资源的融合。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>加强场地内外的文物资源、历史建筑、历史地段、古树名木、历史故事、民间传说等文化资源的发掘、展示和利用，因地制宜布置文化展示空间，传承中华优秀传统文化。</w:t>
      </w:r>
    </w:p>
    <w:p w14:paraId="4B05857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表现形式。</w:t>
      </w:r>
      <w:r>
        <w:rPr>
          <w:rFonts w:hint="eastAsia" w:hAnsi="仿宋_GB2312" w:cs="仿宋_GB2312"/>
          <w:color w:val="auto"/>
          <w:sz w:val="32"/>
          <w:szCs w:val="32"/>
        </w:rPr>
        <w:t>文化元素的提炼和展示要与口袋公园的主题相匹配。利用墙面、地面、雕塑、小品、标牌等作为载体，展示文化主题，彰显公园文化底蕴。</w:t>
      </w:r>
    </w:p>
    <w:p w14:paraId="368303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hAnsi="仿宋_GB2312" w:cs="仿宋_GB2312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文化活动。</w:t>
      </w:r>
      <w:r>
        <w:rPr>
          <w:rFonts w:hint="eastAsia" w:hAnsi="仿宋_GB2312" w:cs="仿宋_GB2312"/>
          <w:color w:val="auto"/>
          <w:sz w:val="32"/>
          <w:szCs w:val="32"/>
        </w:rPr>
        <w:t>宜结合社区治理工作、居民需求和区域文化传统等，开展形式多样的文化活动，丰富群众文化生活。</w:t>
      </w:r>
    </w:p>
    <w:p w14:paraId="522C10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eastAsia="zh-CN"/>
        </w:rPr>
        <w:t>第十四条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  <w:t>安全保障</w:t>
      </w:r>
    </w:p>
    <w:p w14:paraId="54CF0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安全要求。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夜间照明应与主要游园线路相结合，以功能照明为主，避免照明盲区。儿童活动场地照明宜选用反射灯具，避免出现眩光。</w:t>
      </w:r>
    </w:p>
    <w:p w14:paraId="1AFB9F2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绿化种植需留有必要的通透视线空间，避免出现视线盲区，对安全管理造成影响。</w:t>
      </w:r>
    </w:p>
    <w:p w14:paraId="7AE629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运动健身设施应注明年龄和身体状况限制，明确设施操作要求，以及是否需要看护人陪同等。</w:t>
      </w:r>
    </w:p>
    <w:p w14:paraId="2248BEF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儿童活动场地应避免临近机动车道、自行车道与停车场，若临近，需用植物或地形等进行隔离，保证儿童活动安全。可进入的亲水空间不得使用高压喷泉。</w:t>
      </w:r>
    </w:p>
    <w:p w14:paraId="54A46D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景观小品表面宜光滑，末端或转弯处设计成圆角，避免安全风险。</w:t>
      </w:r>
    </w:p>
    <w:p w14:paraId="64D9A5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</w:rPr>
        <w:t>宜设置智能化监控管理设施。</w:t>
      </w:r>
    </w:p>
    <w:p w14:paraId="2C4F7D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hAnsi="仿宋_GB2312" w:cs="仿宋_GB2312"/>
          <w:color w:val="auto"/>
          <w:sz w:val="32"/>
          <w:szCs w:val="32"/>
        </w:rPr>
        <w:t>公园内各类设施应符合相关安全标准规范的要求。</w:t>
      </w:r>
    </w:p>
    <w:p w14:paraId="6A24AAA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hAnsi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无障碍要求。</w:t>
      </w:r>
      <w:r>
        <w:rPr>
          <w:rFonts w:hint="eastAsia" w:hAnsi="仿宋_GB2312" w:cs="仿宋_GB2312"/>
          <w:color w:val="auto"/>
          <w:sz w:val="32"/>
          <w:szCs w:val="32"/>
        </w:rPr>
        <w:t>缘石坡道、轮椅坡道、扶手等无障碍设施设计与施工应符合《无障碍设计规范》（GB 50763）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hAnsi="仿宋_GB2312" w:cs="仿宋_GB2312"/>
          <w:color w:val="auto"/>
          <w:sz w:val="32"/>
          <w:szCs w:val="32"/>
        </w:rPr>
        <w:t>《建筑与市政工程无障碍通用规范》（GB 55019）规定。入口与园路及建（构）筑物设施的接驳处应平缓防滑，无障碍通行线路应连续贯通。应设置完整的无障碍标识系统，可设置语音服务、盲文标识等设施。</w:t>
      </w:r>
    </w:p>
    <w:p w14:paraId="41D8A41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第四章</w:t>
      </w:r>
      <w:r>
        <w:rPr>
          <w:rFonts w:hint="eastAsia" w:ascii="黑体" w:eastAsia="黑体"/>
          <w:color w:val="auto"/>
          <w:sz w:val="32"/>
          <w:szCs w:val="32"/>
        </w:rPr>
        <w:t xml:space="preserve"> 管理维护</w:t>
      </w:r>
    </w:p>
    <w:p w14:paraId="13A8C1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eastAsia="zh-CN"/>
        </w:rPr>
        <w:t>第十五条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  <w:t xml:space="preserve">管理机制 </w:t>
      </w:r>
    </w:p>
    <w:p w14:paraId="43C8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城市园林绿化主管部门应统筹推进城市口袋公园规划、设计、建设、管理工作。</w:t>
      </w:r>
    </w:p>
    <w:p w14:paraId="4EBD8D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口袋公园应由具有相应资质的机构进行设计，并按照国家相关要求组织施工并进行工程验收。</w:t>
      </w:r>
    </w:p>
    <w:p w14:paraId="4740ADA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坚持“三分建设，七分管养”，加强口袋公园运行维护管理，已开放的口袋公园要明确管理机构、日常管养单位和责任人，落实日常管养工作人员和经费保障。建立健全日常管理制度，提高管理服务水平。</w:t>
      </w:r>
    </w:p>
    <w:p w14:paraId="2199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黑体" w:eastAsia="仿宋_GB2312" w:cstheme="minorBidi"/>
          <w:color w:val="auto"/>
          <w:kern w:val="24"/>
          <w:sz w:val="32"/>
          <w:szCs w:val="32"/>
        </w:rPr>
      </w:pPr>
      <w:r>
        <w:rPr>
          <w:rFonts w:hint="eastAsia" w:ascii="仿宋_GB2312" w:hAnsi="黑体" w:eastAsia="仿宋_GB2312"/>
          <w:color w:val="auto"/>
          <w:kern w:val="24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color w:val="auto"/>
          <w:kern w:val="24"/>
          <w:sz w:val="32"/>
          <w:szCs w:val="32"/>
        </w:rPr>
        <w:t>任何单位和个人不得擅自损坏公园树木，不得随意破坏公园设施。</w:t>
      </w:r>
    </w:p>
    <w:p w14:paraId="2662F3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left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eastAsia="zh-CN"/>
        </w:rPr>
        <w:t>第十六条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</w:rPr>
        <w:t>日常维护</w:t>
      </w:r>
    </w:p>
    <w:p w14:paraId="7677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园容卫生。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保持公园园容干净整洁、清新自然、环境优美。</w:t>
      </w:r>
    </w:p>
    <w:p w14:paraId="35C9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加强清扫保洁，及时清运垃圾，不应有卫生死角，修剪、清理的残枝、杂草和其他杂物等应及时清运。</w:t>
      </w:r>
    </w:p>
    <w:p w14:paraId="739AB9A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各类设施和建（构）筑物等应洁净干爽，无污渍、无乱贴乱画、无蛛网等。游乐设施应定期保洁和消毒，保持整洁卫生。</w:t>
      </w:r>
    </w:p>
    <w:p w14:paraId="1F9CD9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公园水体应保持清洁，无蚊虫滋生、无异味、无漂浮杂物等，符合景观水体的水质标准。</w:t>
      </w:r>
    </w:p>
    <w:p w14:paraId="2593C6E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绿化养护。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应参照《园林绿化养护标准》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CJJ/T 287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和相关标准要求，保证植物正常生长，营造花木繁茂、景色优美、环境舒适的园林环境。</w:t>
      </w:r>
    </w:p>
    <w:p w14:paraId="5930D1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应根据植物生长特性定期修剪，缺株短株的及时补植，保持长势良好、形态美观、层次合理。修剪时，应设立警示标识，做好安全保护措施。</w:t>
      </w:r>
    </w:p>
    <w:p w14:paraId="1E1E2DE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应制定病虫害防治措施，倡导生物防治。发生病虫害危害时，应及时采取有效措施，避免对</w:t>
      </w:r>
      <w:r>
        <w:rPr>
          <w:rFonts w:hint="eastAsia"/>
          <w:color w:val="auto"/>
          <w:sz w:val="32"/>
          <w:szCs w:val="32"/>
          <w:lang w:eastAsia="zh-CN"/>
        </w:rPr>
        <w:t>群众</w:t>
      </w:r>
      <w:r>
        <w:rPr>
          <w:rFonts w:hint="eastAsia"/>
          <w:color w:val="auto"/>
          <w:sz w:val="32"/>
          <w:szCs w:val="32"/>
        </w:rPr>
        <w:t>人身安全造成危害，减少对自然环境的影响。</w:t>
      </w:r>
    </w:p>
    <w:p w14:paraId="4897CF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应科学合理布设节水灌溉设施，保障植物正常养护需求。</w:t>
      </w:r>
    </w:p>
    <w:p w14:paraId="5B9C42E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设施管理。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应加强对园内各项设施的检查、检测、维修，确保各类设施外观完好、功能完善。</w:t>
      </w:r>
    </w:p>
    <w:p w14:paraId="5E9E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园内设施的检验、维修、更换记录等资料应妥善收集和管理，以备查验。</w:t>
      </w:r>
    </w:p>
    <w:p w14:paraId="275F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应定期检查，加强景观建（构）筑物和园林小品的日常维护保养，保持完好、整洁、无破损。</w:t>
      </w:r>
    </w:p>
    <w:p w14:paraId="37A8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ascii="仿宋_GB2312" w:hAnsi="仿宋_GB2312" w:eastAsia="仿宋_GB2312" w:cs="仿宋_GB2312"/>
          <w:color w:val="auto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安全管理。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要建立设施日常检查制度，及时发现隐患并维护更新。应做好极端天气应对和防火、安全用电等工作。</w:t>
      </w:r>
    </w:p>
    <w:p w14:paraId="094E759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园内设施维修和园林机械作业，应设置安全警示标志，采取有效的安全保障措施。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F327E-063A-4751-B4C9-0DF72EA241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1FEF807-4001-49AA-B0CA-2578CFC8E54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8A6AEA-7F0D-4E47-B6F4-12B4BD1081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4D0A3B-EA44-4DDD-942A-FD3DB88511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6E5DC28-348E-4FE1-AEA0-5AD5FA16A7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10782F5-D0ED-43AB-A845-9D1EAFE02DC3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0F21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218F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218F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3NWE5ZmMyYzI1Mzg2NjU5MzgwMjM3NWFkODMwMTIifQ=="/>
  </w:docVars>
  <w:rsids>
    <w:rsidRoot w:val="4CF11DC6"/>
    <w:rsid w:val="000029A7"/>
    <w:rsid w:val="0001231E"/>
    <w:rsid w:val="000225BB"/>
    <w:rsid w:val="000226B7"/>
    <w:rsid w:val="00034601"/>
    <w:rsid w:val="00036A2F"/>
    <w:rsid w:val="00036C6A"/>
    <w:rsid w:val="00037A46"/>
    <w:rsid w:val="000475D3"/>
    <w:rsid w:val="0005426E"/>
    <w:rsid w:val="00063C84"/>
    <w:rsid w:val="00073FBB"/>
    <w:rsid w:val="00082E67"/>
    <w:rsid w:val="00083C86"/>
    <w:rsid w:val="00095834"/>
    <w:rsid w:val="000963BB"/>
    <w:rsid w:val="000A166A"/>
    <w:rsid w:val="000A6347"/>
    <w:rsid w:val="000A6E27"/>
    <w:rsid w:val="000A76C2"/>
    <w:rsid w:val="000B6B51"/>
    <w:rsid w:val="000D1D82"/>
    <w:rsid w:val="000D439E"/>
    <w:rsid w:val="000E306F"/>
    <w:rsid w:val="000F521C"/>
    <w:rsid w:val="000F7DF7"/>
    <w:rsid w:val="001024EE"/>
    <w:rsid w:val="00104857"/>
    <w:rsid w:val="00105A1A"/>
    <w:rsid w:val="00105C6C"/>
    <w:rsid w:val="001150F0"/>
    <w:rsid w:val="001165D1"/>
    <w:rsid w:val="001470A5"/>
    <w:rsid w:val="00150F6B"/>
    <w:rsid w:val="00157D39"/>
    <w:rsid w:val="0016375A"/>
    <w:rsid w:val="00165ABD"/>
    <w:rsid w:val="001676A7"/>
    <w:rsid w:val="001851CF"/>
    <w:rsid w:val="0019177F"/>
    <w:rsid w:val="001A163C"/>
    <w:rsid w:val="001C2127"/>
    <w:rsid w:val="001C4D7D"/>
    <w:rsid w:val="001D6D1A"/>
    <w:rsid w:val="001E74BB"/>
    <w:rsid w:val="001F5CE8"/>
    <w:rsid w:val="002018BC"/>
    <w:rsid w:val="002019CD"/>
    <w:rsid w:val="00206445"/>
    <w:rsid w:val="00207482"/>
    <w:rsid w:val="00207E7B"/>
    <w:rsid w:val="00210919"/>
    <w:rsid w:val="002121AB"/>
    <w:rsid w:val="00225253"/>
    <w:rsid w:val="0023316D"/>
    <w:rsid w:val="0023359B"/>
    <w:rsid w:val="00236CFB"/>
    <w:rsid w:val="00241070"/>
    <w:rsid w:val="0024397F"/>
    <w:rsid w:val="002474DF"/>
    <w:rsid w:val="0025499C"/>
    <w:rsid w:val="00257F65"/>
    <w:rsid w:val="00293073"/>
    <w:rsid w:val="002A1839"/>
    <w:rsid w:val="002A6832"/>
    <w:rsid w:val="002C65BA"/>
    <w:rsid w:val="002D0B7C"/>
    <w:rsid w:val="002D5EF8"/>
    <w:rsid w:val="002F17C6"/>
    <w:rsid w:val="002F401A"/>
    <w:rsid w:val="00307DA5"/>
    <w:rsid w:val="00313244"/>
    <w:rsid w:val="0031340E"/>
    <w:rsid w:val="00316C2C"/>
    <w:rsid w:val="00317B9A"/>
    <w:rsid w:val="003203D5"/>
    <w:rsid w:val="00335A1F"/>
    <w:rsid w:val="00343910"/>
    <w:rsid w:val="00354890"/>
    <w:rsid w:val="00354FC0"/>
    <w:rsid w:val="00374C3A"/>
    <w:rsid w:val="00375A7A"/>
    <w:rsid w:val="00375D85"/>
    <w:rsid w:val="003830FC"/>
    <w:rsid w:val="0038500C"/>
    <w:rsid w:val="003B7EC3"/>
    <w:rsid w:val="003C1CE7"/>
    <w:rsid w:val="003C57E2"/>
    <w:rsid w:val="003C7ED0"/>
    <w:rsid w:val="003D076F"/>
    <w:rsid w:val="003D1540"/>
    <w:rsid w:val="003D43B4"/>
    <w:rsid w:val="003D7AD1"/>
    <w:rsid w:val="003E3EEE"/>
    <w:rsid w:val="003F103D"/>
    <w:rsid w:val="0040151C"/>
    <w:rsid w:val="0040154D"/>
    <w:rsid w:val="00403909"/>
    <w:rsid w:val="00426B9C"/>
    <w:rsid w:val="004430D2"/>
    <w:rsid w:val="00451073"/>
    <w:rsid w:val="00456FBB"/>
    <w:rsid w:val="00473572"/>
    <w:rsid w:val="00482AA5"/>
    <w:rsid w:val="00483D8F"/>
    <w:rsid w:val="00487257"/>
    <w:rsid w:val="004B4920"/>
    <w:rsid w:val="004F045B"/>
    <w:rsid w:val="00503DCB"/>
    <w:rsid w:val="0051141E"/>
    <w:rsid w:val="00515557"/>
    <w:rsid w:val="00515825"/>
    <w:rsid w:val="00526809"/>
    <w:rsid w:val="005328C2"/>
    <w:rsid w:val="00540CB8"/>
    <w:rsid w:val="00541282"/>
    <w:rsid w:val="00553733"/>
    <w:rsid w:val="00556110"/>
    <w:rsid w:val="00556277"/>
    <w:rsid w:val="00557292"/>
    <w:rsid w:val="00557C70"/>
    <w:rsid w:val="00561C67"/>
    <w:rsid w:val="00563567"/>
    <w:rsid w:val="005665A2"/>
    <w:rsid w:val="005715E2"/>
    <w:rsid w:val="0057671D"/>
    <w:rsid w:val="0058751A"/>
    <w:rsid w:val="00592A60"/>
    <w:rsid w:val="0059302D"/>
    <w:rsid w:val="005B3B77"/>
    <w:rsid w:val="005B74AB"/>
    <w:rsid w:val="005C0FE0"/>
    <w:rsid w:val="005C169D"/>
    <w:rsid w:val="005C3FD9"/>
    <w:rsid w:val="005D208E"/>
    <w:rsid w:val="005D73DD"/>
    <w:rsid w:val="005D7550"/>
    <w:rsid w:val="005E48E5"/>
    <w:rsid w:val="005E5CFD"/>
    <w:rsid w:val="006028CF"/>
    <w:rsid w:val="00617D8D"/>
    <w:rsid w:val="00624D15"/>
    <w:rsid w:val="00636EF2"/>
    <w:rsid w:val="0068293B"/>
    <w:rsid w:val="00685180"/>
    <w:rsid w:val="00696AB9"/>
    <w:rsid w:val="006B53E4"/>
    <w:rsid w:val="006C4B5E"/>
    <w:rsid w:val="006C7270"/>
    <w:rsid w:val="006D4DE9"/>
    <w:rsid w:val="006F5DD3"/>
    <w:rsid w:val="006F61A9"/>
    <w:rsid w:val="006F620C"/>
    <w:rsid w:val="0070062E"/>
    <w:rsid w:val="00703930"/>
    <w:rsid w:val="00717414"/>
    <w:rsid w:val="007211BC"/>
    <w:rsid w:val="00725271"/>
    <w:rsid w:val="00727AD7"/>
    <w:rsid w:val="00743781"/>
    <w:rsid w:val="007657C5"/>
    <w:rsid w:val="007708EA"/>
    <w:rsid w:val="0077720F"/>
    <w:rsid w:val="00784972"/>
    <w:rsid w:val="00785373"/>
    <w:rsid w:val="0078723C"/>
    <w:rsid w:val="007879C2"/>
    <w:rsid w:val="007908E7"/>
    <w:rsid w:val="00794243"/>
    <w:rsid w:val="007B4665"/>
    <w:rsid w:val="007B5335"/>
    <w:rsid w:val="007B67A1"/>
    <w:rsid w:val="007C15B9"/>
    <w:rsid w:val="007C1D1B"/>
    <w:rsid w:val="007C1E2B"/>
    <w:rsid w:val="007D0DAE"/>
    <w:rsid w:val="007D1A1E"/>
    <w:rsid w:val="007D1CA4"/>
    <w:rsid w:val="007D45E0"/>
    <w:rsid w:val="007F552C"/>
    <w:rsid w:val="00801FED"/>
    <w:rsid w:val="00807AE5"/>
    <w:rsid w:val="00810297"/>
    <w:rsid w:val="00810B23"/>
    <w:rsid w:val="00813A46"/>
    <w:rsid w:val="00816F38"/>
    <w:rsid w:val="00823BBC"/>
    <w:rsid w:val="00841C7A"/>
    <w:rsid w:val="00843831"/>
    <w:rsid w:val="008458A0"/>
    <w:rsid w:val="00850945"/>
    <w:rsid w:val="00853341"/>
    <w:rsid w:val="00867E97"/>
    <w:rsid w:val="0087184A"/>
    <w:rsid w:val="00875D52"/>
    <w:rsid w:val="00877A2D"/>
    <w:rsid w:val="00881661"/>
    <w:rsid w:val="00885A44"/>
    <w:rsid w:val="00895C5E"/>
    <w:rsid w:val="008C24AB"/>
    <w:rsid w:val="008C31C1"/>
    <w:rsid w:val="008D2150"/>
    <w:rsid w:val="008D2A52"/>
    <w:rsid w:val="008E52C8"/>
    <w:rsid w:val="0090228A"/>
    <w:rsid w:val="00912FF9"/>
    <w:rsid w:val="00930132"/>
    <w:rsid w:val="0094565F"/>
    <w:rsid w:val="00956315"/>
    <w:rsid w:val="009604CB"/>
    <w:rsid w:val="009611DB"/>
    <w:rsid w:val="00964F71"/>
    <w:rsid w:val="00966C37"/>
    <w:rsid w:val="00996B5C"/>
    <w:rsid w:val="009A4226"/>
    <w:rsid w:val="009A4800"/>
    <w:rsid w:val="009A49D1"/>
    <w:rsid w:val="009A5226"/>
    <w:rsid w:val="009C03F0"/>
    <w:rsid w:val="009D1197"/>
    <w:rsid w:val="009D2AEF"/>
    <w:rsid w:val="009D35CD"/>
    <w:rsid w:val="009D4464"/>
    <w:rsid w:val="009D6647"/>
    <w:rsid w:val="009E252A"/>
    <w:rsid w:val="00A03999"/>
    <w:rsid w:val="00A07590"/>
    <w:rsid w:val="00A10604"/>
    <w:rsid w:val="00A233F2"/>
    <w:rsid w:val="00A30F87"/>
    <w:rsid w:val="00A33888"/>
    <w:rsid w:val="00A36642"/>
    <w:rsid w:val="00A40474"/>
    <w:rsid w:val="00A41645"/>
    <w:rsid w:val="00A41B55"/>
    <w:rsid w:val="00A5349F"/>
    <w:rsid w:val="00A57BD6"/>
    <w:rsid w:val="00A6111F"/>
    <w:rsid w:val="00A67DBB"/>
    <w:rsid w:val="00A81BDE"/>
    <w:rsid w:val="00A82FBB"/>
    <w:rsid w:val="00A83D1F"/>
    <w:rsid w:val="00A855A6"/>
    <w:rsid w:val="00A86669"/>
    <w:rsid w:val="00AA29A8"/>
    <w:rsid w:val="00AA5860"/>
    <w:rsid w:val="00AB03E2"/>
    <w:rsid w:val="00AB28ED"/>
    <w:rsid w:val="00AD14D6"/>
    <w:rsid w:val="00AD5A54"/>
    <w:rsid w:val="00AE2B27"/>
    <w:rsid w:val="00AE6E42"/>
    <w:rsid w:val="00AF604B"/>
    <w:rsid w:val="00B03989"/>
    <w:rsid w:val="00B04406"/>
    <w:rsid w:val="00B075D4"/>
    <w:rsid w:val="00B234C7"/>
    <w:rsid w:val="00B3668E"/>
    <w:rsid w:val="00B47438"/>
    <w:rsid w:val="00B56D81"/>
    <w:rsid w:val="00B662AB"/>
    <w:rsid w:val="00B7253F"/>
    <w:rsid w:val="00B93480"/>
    <w:rsid w:val="00BB5190"/>
    <w:rsid w:val="00BC187A"/>
    <w:rsid w:val="00BD266D"/>
    <w:rsid w:val="00BD273A"/>
    <w:rsid w:val="00BE25ED"/>
    <w:rsid w:val="00BE49A2"/>
    <w:rsid w:val="00BE5C64"/>
    <w:rsid w:val="00C0209D"/>
    <w:rsid w:val="00C07715"/>
    <w:rsid w:val="00C07BF7"/>
    <w:rsid w:val="00C141AE"/>
    <w:rsid w:val="00C15BD7"/>
    <w:rsid w:val="00C16EB8"/>
    <w:rsid w:val="00C32967"/>
    <w:rsid w:val="00C44527"/>
    <w:rsid w:val="00C55B86"/>
    <w:rsid w:val="00C5795C"/>
    <w:rsid w:val="00C75182"/>
    <w:rsid w:val="00C960D3"/>
    <w:rsid w:val="00CA27AF"/>
    <w:rsid w:val="00CA5A8A"/>
    <w:rsid w:val="00CA6B36"/>
    <w:rsid w:val="00CC1D25"/>
    <w:rsid w:val="00CC1F14"/>
    <w:rsid w:val="00CC2D1B"/>
    <w:rsid w:val="00CC48F4"/>
    <w:rsid w:val="00D01D73"/>
    <w:rsid w:val="00D0288C"/>
    <w:rsid w:val="00D07E26"/>
    <w:rsid w:val="00D221C0"/>
    <w:rsid w:val="00D30531"/>
    <w:rsid w:val="00D416D6"/>
    <w:rsid w:val="00D42DA4"/>
    <w:rsid w:val="00D507E5"/>
    <w:rsid w:val="00D544D3"/>
    <w:rsid w:val="00D549F7"/>
    <w:rsid w:val="00D54A03"/>
    <w:rsid w:val="00D56707"/>
    <w:rsid w:val="00D62EEF"/>
    <w:rsid w:val="00D65EF2"/>
    <w:rsid w:val="00D75F7F"/>
    <w:rsid w:val="00D77376"/>
    <w:rsid w:val="00D81F3E"/>
    <w:rsid w:val="00D84525"/>
    <w:rsid w:val="00D8581D"/>
    <w:rsid w:val="00D95577"/>
    <w:rsid w:val="00D96497"/>
    <w:rsid w:val="00DC157E"/>
    <w:rsid w:val="00DC1CBE"/>
    <w:rsid w:val="00DD2243"/>
    <w:rsid w:val="00DD4753"/>
    <w:rsid w:val="00DF05AF"/>
    <w:rsid w:val="00DF3C3E"/>
    <w:rsid w:val="00E05463"/>
    <w:rsid w:val="00E16EA8"/>
    <w:rsid w:val="00E21488"/>
    <w:rsid w:val="00E43246"/>
    <w:rsid w:val="00E5565B"/>
    <w:rsid w:val="00E56CC0"/>
    <w:rsid w:val="00E77062"/>
    <w:rsid w:val="00E96A61"/>
    <w:rsid w:val="00EA39F0"/>
    <w:rsid w:val="00EA6E64"/>
    <w:rsid w:val="00EB086F"/>
    <w:rsid w:val="00EB73C8"/>
    <w:rsid w:val="00EC0FD9"/>
    <w:rsid w:val="00EC13D7"/>
    <w:rsid w:val="00ED7203"/>
    <w:rsid w:val="00EE0225"/>
    <w:rsid w:val="00EF34CB"/>
    <w:rsid w:val="00F01C06"/>
    <w:rsid w:val="00F163E9"/>
    <w:rsid w:val="00F233E0"/>
    <w:rsid w:val="00F235DE"/>
    <w:rsid w:val="00F23DF7"/>
    <w:rsid w:val="00F31AE2"/>
    <w:rsid w:val="00F43C03"/>
    <w:rsid w:val="00F533C8"/>
    <w:rsid w:val="00F60F81"/>
    <w:rsid w:val="00F83450"/>
    <w:rsid w:val="00F9385F"/>
    <w:rsid w:val="00F93EF5"/>
    <w:rsid w:val="00F96FA8"/>
    <w:rsid w:val="00FA130D"/>
    <w:rsid w:val="00FA14AE"/>
    <w:rsid w:val="00FA233B"/>
    <w:rsid w:val="00FA697B"/>
    <w:rsid w:val="00FA6EB0"/>
    <w:rsid w:val="00FB7CFC"/>
    <w:rsid w:val="00FD7500"/>
    <w:rsid w:val="00FE1EE2"/>
    <w:rsid w:val="00FE4CAF"/>
    <w:rsid w:val="00FE5564"/>
    <w:rsid w:val="05563495"/>
    <w:rsid w:val="11C664AC"/>
    <w:rsid w:val="11DDC703"/>
    <w:rsid w:val="12A44F3E"/>
    <w:rsid w:val="152865CA"/>
    <w:rsid w:val="186500A0"/>
    <w:rsid w:val="18B51028"/>
    <w:rsid w:val="190A1374"/>
    <w:rsid w:val="196C5C41"/>
    <w:rsid w:val="1C7D45CD"/>
    <w:rsid w:val="1D5F77B4"/>
    <w:rsid w:val="1E1467F1"/>
    <w:rsid w:val="203A7297"/>
    <w:rsid w:val="22374048"/>
    <w:rsid w:val="23733FB9"/>
    <w:rsid w:val="281A2C55"/>
    <w:rsid w:val="28E61CAB"/>
    <w:rsid w:val="2F5BB2A2"/>
    <w:rsid w:val="2FFD8BD6"/>
    <w:rsid w:val="3ACF5B21"/>
    <w:rsid w:val="3C3F3058"/>
    <w:rsid w:val="3CFA3075"/>
    <w:rsid w:val="3EF160AB"/>
    <w:rsid w:val="3F5F1331"/>
    <w:rsid w:val="3FD7D581"/>
    <w:rsid w:val="3FF3557D"/>
    <w:rsid w:val="3FFF68DB"/>
    <w:rsid w:val="45C718D7"/>
    <w:rsid w:val="47495932"/>
    <w:rsid w:val="495D0D40"/>
    <w:rsid w:val="49716C3C"/>
    <w:rsid w:val="49757933"/>
    <w:rsid w:val="4BED68D9"/>
    <w:rsid w:val="4CF11DC6"/>
    <w:rsid w:val="4E466FF3"/>
    <w:rsid w:val="4FFB4FED"/>
    <w:rsid w:val="4FFF24B1"/>
    <w:rsid w:val="547215A0"/>
    <w:rsid w:val="57EF7AB9"/>
    <w:rsid w:val="597F043F"/>
    <w:rsid w:val="59A541C5"/>
    <w:rsid w:val="5A923916"/>
    <w:rsid w:val="5AB31617"/>
    <w:rsid w:val="5B0862B6"/>
    <w:rsid w:val="5B743EA2"/>
    <w:rsid w:val="5E856373"/>
    <w:rsid w:val="5EFBAEB2"/>
    <w:rsid w:val="5FDBBFC8"/>
    <w:rsid w:val="5FEE1D0F"/>
    <w:rsid w:val="64E16127"/>
    <w:rsid w:val="650350E3"/>
    <w:rsid w:val="653D0F88"/>
    <w:rsid w:val="65811FEA"/>
    <w:rsid w:val="666D1BC7"/>
    <w:rsid w:val="66974E96"/>
    <w:rsid w:val="67704FA6"/>
    <w:rsid w:val="6AB61935"/>
    <w:rsid w:val="6B3E000D"/>
    <w:rsid w:val="6B775B35"/>
    <w:rsid w:val="6E7FEF36"/>
    <w:rsid w:val="6FB611E2"/>
    <w:rsid w:val="6FB6172B"/>
    <w:rsid w:val="6FF75F54"/>
    <w:rsid w:val="6FFF58D1"/>
    <w:rsid w:val="73FF4046"/>
    <w:rsid w:val="74BB411C"/>
    <w:rsid w:val="74DFAA03"/>
    <w:rsid w:val="760A34A2"/>
    <w:rsid w:val="767E4526"/>
    <w:rsid w:val="76CA4D1C"/>
    <w:rsid w:val="76F748D9"/>
    <w:rsid w:val="77DE2925"/>
    <w:rsid w:val="77F015D0"/>
    <w:rsid w:val="77F4ECD3"/>
    <w:rsid w:val="7910522D"/>
    <w:rsid w:val="7AF3DBC4"/>
    <w:rsid w:val="7B3E5683"/>
    <w:rsid w:val="7BAF7196"/>
    <w:rsid w:val="7BD730F0"/>
    <w:rsid w:val="7DBFE674"/>
    <w:rsid w:val="7DDDC4DE"/>
    <w:rsid w:val="7DFADBFB"/>
    <w:rsid w:val="7DFDA8F6"/>
    <w:rsid w:val="7EDBCC19"/>
    <w:rsid w:val="7EF72075"/>
    <w:rsid w:val="7EFEC3A5"/>
    <w:rsid w:val="7F0770F7"/>
    <w:rsid w:val="7F2619A9"/>
    <w:rsid w:val="7F9C570A"/>
    <w:rsid w:val="7FCFA1FE"/>
    <w:rsid w:val="7FFF2458"/>
    <w:rsid w:val="91AFF476"/>
    <w:rsid w:val="A7FF96D6"/>
    <w:rsid w:val="B15BD05E"/>
    <w:rsid w:val="B9F83F94"/>
    <w:rsid w:val="BB5DE1C1"/>
    <w:rsid w:val="BF74322A"/>
    <w:rsid w:val="BFBFCE50"/>
    <w:rsid w:val="BFFE1290"/>
    <w:rsid w:val="C637D18A"/>
    <w:rsid w:val="CFDFD5A0"/>
    <w:rsid w:val="D5159357"/>
    <w:rsid w:val="D7EBE240"/>
    <w:rsid w:val="DBEF5919"/>
    <w:rsid w:val="DEFF051F"/>
    <w:rsid w:val="DF7DC746"/>
    <w:rsid w:val="DF8E2F6E"/>
    <w:rsid w:val="DFE6B02A"/>
    <w:rsid w:val="DFFC220B"/>
    <w:rsid w:val="EB1FFCF7"/>
    <w:rsid w:val="EB747830"/>
    <w:rsid w:val="ECEEE4A0"/>
    <w:rsid w:val="F1DE555E"/>
    <w:rsid w:val="F4F9F44A"/>
    <w:rsid w:val="F5FFA255"/>
    <w:rsid w:val="F8BE0CC6"/>
    <w:rsid w:val="F987A39E"/>
    <w:rsid w:val="F9D66844"/>
    <w:rsid w:val="F9FE2BC3"/>
    <w:rsid w:val="FB6FD3A8"/>
    <w:rsid w:val="FB7E72FE"/>
    <w:rsid w:val="FBBF3028"/>
    <w:rsid w:val="FBFF4F7D"/>
    <w:rsid w:val="FCC9ACD0"/>
    <w:rsid w:val="FDD9BDCA"/>
    <w:rsid w:val="FDFA5DB1"/>
    <w:rsid w:val="FEEBAC65"/>
    <w:rsid w:val="FF5B48AF"/>
    <w:rsid w:val="FFDF3CB1"/>
    <w:rsid w:val="FFEEC107"/>
    <w:rsid w:val="FFFBE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1"/>
    <w:pPr>
      <w:spacing w:before="44"/>
      <w:ind w:left="2295" w:hanging="361"/>
      <w:outlineLvl w:val="3"/>
    </w:pPr>
    <w:rPr>
      <w:rFonts w:ascii="微软雅黑" w:hAnsi="微软雅黑" w:eastAsia="微软雅黑" w:cs="微软雅黑"/>
      <w:b/>
      <w:bCs/>
      <w:sz w:val="2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微软雅黑" w:hAnsi="微软雅黑" w:eastAsia="微软雅黑" w:cs="微软雅黑"/>
      <w:sz w:val="22"/>
      <w:szCs w:val="22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line="560" w:lineRule="exact"/>
      <w:ind w:firstLine="640" w:firstLineChars="200"/>
      <w:jc w:val="center"/>
    </w:pPr>
    <w:rPr>
      <w:rFonts w:ascii="仿宋_GB2312" w:hAnsi="黑体" w:eastAsia="仿宋_GB2312"/>
      <w:kern w:val="24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1"/>
    <w:pPr>
      <w:ind w:left="2295" w:hanging="361"/>
    </w:pPr>
    <w:rPr>
      <w:rFonts w:ascii="微软雅黑" w:hAnsi="微软雅黑" w:eastAsia="微软雅黑" w:cs="微软雅黑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54A1" w:themeColor="accent1" w:themeShade="BF"/>
      <w:kern w:val="0"/>
      <w:sz w:val="32"/>
      <w:szCs w:val="32"/>
    </w:rPr>
  </w:style>
  <w:style w:type="character" w:customStyle="1" w:styleId="16">
    <w:name w:val="页脚 字符"/>
    <w:basedOn w:val="12"/>
    <w:link w:val="7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5304</Words>
  <Characters>5382</Characters>
  <Lines>42</Lines>
  <Paragraphs>11</Paragraphs>
  <TotalTime>13</TotalTime>
  <ScaleCrop>false</ScaleCrop>
  <LinksUpToDate>false</LinksUpToDate>
  <CharactersWithSpaces>5544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2024-05-22T17:34:00Z</dcterms:created>
  <dc:creator>oo</dc:creator>
  <cp:lastModifiedBy>蕾雷</cp:lastModifiedBy>
  <cp:lastPrinted>2024-06-03T06:25:00Z</cp:lastPrinted>
  <dcterms:modified xsi:type="dcterms:W3CDTF">2024-06-21T07:46:54Z</dcterms:modified>
  <dc:title>口袋公园建设指南（试行）</dc:title>
  <cp:revision>502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372CED2306808DB006627166946B4472</vt:lpwstr>
  </property>
</Properties>
</file>